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53292E" w:rsidRPr="0053292E" w14:paraId="26AE25C2" w14:textId="77777777" w:rsidTr="0053292E">
        <w:tc>
          <w:tcPr>
            <w:tcW w:w="4111" w:type="dxa"/>
            <w:hideMark/>
          </w:tcPr>
          <w:p w14:paraId="39E87A71" w14:textId="77777777" w:rsidR="0053292E" w:rsidRPr="0053292E" w:rsidRDefault="0053292E" w:rsidP="0053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3292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A05E338" wp14:editId="3EEA97A9">
                  <wp:extent cx="371475" cy="476250"/>
                  <wp:effectExtent l="0" t="0" r="9525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92E" w:rsidRPr="0053292E" w14:paraId="54BB4F75" w14:textId="77777777" w:rsidTr="0053292E">
        <w:tc>
          <w:tcPr>
            <w:tcW w:w="4111" w:type="dxa"/>
            <w:hideMark/>
          </w:tcPr>
          <w:p w14:paraId="01EB3BC0" w14:textId="77777777" w:rsidR="0053292E" w:rsidRPr="0053292E" w:rsidRDefault="0053292E" w:rsidP="005329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32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 ZAGREBAČKA ŽUPANIJA</w:t>
            </w:r>
          </w:p>
          <w:p w14:paraId="385FF809" w14:textId="77777777" w:rsidR="0053292E" w:rsidRPr="0053292E" w:rsidRDefault="0053292E" w:rsidP="0053292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532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          GRAD VELIKA GORICA                 </w:t>
            </w:r>
          </w:p>
        </w:tc>
      </w:tr>
    </w:tbl>
    <w:p w14:paraId="30E41259" w14:textId="77777777" w:rsidR="0053292E" w:rsidRPr="0053292E" w:rsidRDefault="0053292E" w:rsidP="005329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3292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GRADSKO VIJEĆE</w:t>
      </w:r>
    </w:p>
    <w:p w14:paraId="38A0A7D0" w14:textId="77777777" w:rsidR="0053292E" w:rsidRPr="0053292E" w:rsidRDefault="0053292E" w:rsidP="005329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r-HR"/>
        </w:rPr>
      </w:pPr>
    </w:p>
    <w:p w14:paraId="0652BB58" w14:textId="7480190F" w:rsidR="0053292E" w:rsidRPr="0053292E" w:rsidRDefault="0053292E" w:rsidP="005329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92E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KLASA:024-01/2026-04/</w:t>
      </w:r>
      <w:r w:rsidR="00575E21">
        <w:rPr>
          <w:rFonts w:ascii="Times New Roman" w:eastAsia="Times New Roman" w:hAnsi="Times New Roman" w:cs="Times New Roman"/>
          <w:sz w:val="24"/>
          <w:szCs w:val="24"/>
          <w:lang w:eastAsia="hr-HR"/>
        </w:rPr>
        <w:t>49</w:t>
      </w:r>
      <w:bookmarkStart w:id="0" w:name="_GoBack"/>
      <w:bookmarkEnd w:id="0"/>
    </w:p>
    <w:p w14:paraId="2EE9DE36" w14:textId="77777777" w:rsidR="0053292E" w:rsidRPr="0053292E" w:rsidRDefault="0053292E" w:rsidP="005329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92E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URBROJ:238-31-02-2026-01</w:t>
      </w:r>
    </w:p>
    <w:p w14:paraId="5CFE7CC8" w14:textId="77777777" w:rsidR="0053292E" w:rsidRPr="0053292E" w:rsidRDefault="0053292E" w:rsidP="005329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92E">
        <w:rPr>
          <w:rFonts w:ascii="Times New Roman" w:eastAsia="Times New Roman" w:hAnsi="Times New Roman" w:cs="Times New Roman"/>
          <w:sz w:val="24"/>
          <w:szCs w:val="24"/>
          <w:lang w:eastAsia="hr-HR"/>
        </w:rPr>
        <w:t>U Velikoj Gorici, 18. kolovoza 2026.</w:t>
      </w:r>
    </w:p>
    <w:p w14:paraId="733174FE" w14:textId="77777777" w:rsidR="006A0D48" w:rsidRPr="0053292E" w:rsidRDefault="006A0D48" w:rsidP="00174B4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</w:p>
    <w:p w14:paraId="0F8FD493" w14:textId="6577A6CA" w:rsidR="00174B4E" w:rsidRPr="0053292E" w:rsidRDefault="00174B4E" w:rsidP="0053292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53292E">
        <w:rPr>
          <w:rFonts w:eastAsia="Calibri" w:cstheme="minorHAnsi"/>
          <w:sz w:val="24"/>
          <w:szCs w:val="24"/>
        </w:rPr>
        <w:t xml:space="preserve">Na temelju </w:t>
      </w:r>
      <w:r w:rsidR="002F3E20" w:rsidRPr="0053292E">
        <w:rPr>
          <w:rFonts w:eastAsia="Calibri" w:cstheme="minorHAnsi"/>
          <w:sz w:val="24"/>
          <w:szCs w:val="24"/>
        </w:rPr>
        <w:t xml:space="preserve">članka 26. Zakona o regionalnom razvoju Republike Hrvatske („Narodne novine“ broj 45/26) i </w:t>
      </w:r>
      <w:r w:rsidRPr="0053292E">
        <w:rPr>
          <w:rFonts w:eastAsia="Calibri" w:cstheme="minorHAnsi"/>
          <w:sz w:val="24"/>
          <w:szCs w:val="24"/>
        </w:rPr>
        <w:t xml:space="preserve">članka 33. Statuta Grada Velike Gorice („Službeni glasnik Grada Velike Gorice“ broj 1/21) </w:t>
      </w:r>
      <w:r w:rsidRPr="0053292E">
        <w:rPr>
          <w:rFonts w:eastAsia="Calibri" w:cstheme="minorHAnsi"/>
          <w:color w:val="000000"/>
          <w:sz w:val="24"/>
          <w:szCs w:val="24"/>
        </w:rPr>
        <w:t>Gradsko vijeće Grada Velike Gorice na</w:t>
      </w:r>
      <w:r w:rsidR="0053292E">
        <w:rPr>
          <w:rFonts w:eastAsia="Calibri" w:cstheme="minorHAnsi"/>
          <w:color w:val="000000"/>
          <w:sz w:val="24"/>
          <w:szCs w:val="24"/>
        </w:rPr>
        <w:t xml:space="preserve"> 7.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sjednici održanoj </w:t>
      </w:r>
      <w:r w:rsidR="0053292E">
        <w:rPr>
          <w:rFonts w:eastAsia="Calibri" w:cstheme="minorHAnsi"/>
          <w:color w:val="000000"/>
          <w:sz w:val="24"/>
          <w:szCs w:val="24"/>
        </w:rPr>
        <w:t>18. kolovoza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202</w:t>
      </w:r>
      <w:r w:rsidR="008B1329" w:rsidRPr="0053292E">
        <w:rPr>
          <w:rFonts w:eastAsia="Calibri" w:cstheme="minorHAnsi"/>
          <w:color w:val="000000"/>
          <w:sz w:val="24"/>
          <w:szCs w:val="24"/>
        </w:rPr>
        <w:t>6</w:t>
      </w:r>
      <w:r w:rsidRPr="0053292E">
        <w:rPr>
          <w:rFonts w:eastAsia="Calibri" w:cstheme="minorHAnsi"/>
          <w:color w:val="000000"/>
          <w:sz w:val="24"/>
          <w:szCs w:val="24"/>
        </w:rPr>
        <w:t>. godine donosi</w:t>
      </w:r>
      <w:r w:rsidRPr="0053292E">
        <w:rPr>
          <w:rFonts w:eastAsia="Calibri" w:cstheme="minorHAnsi"/>
          <w:sz w:val="24"/>
          <w:szCs w:val="24"/>
        </w:rPr>
        <w:tab/>
        <w:t xml:space="preserve"> </w:t>
      </w:r>
    </w:p>
    <w:p w14:paraId="1BDAB990" w14:textId="77777777" w:rsidR="00174B4E" w:rsidRPr="0053292E" w:rsidRDefault="00174B4E" w:rsidP="00174B4E">
      <w:pPr>
        <w:spacing w:after="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53292E">
        <w:rPr>
          <w:rFonts w:eastAsia="Calibri" w:cstheme="minorHAnsi"/>
          <w:b/>
          <w:sz w:val="24"/>
          <w:szCs w:val="24"/>
        </w:rPr>
        <w:t>ODLUKU</w:t>
      </w:r>
    </w:p>
    <w:p w14:paraId="310D7898" w14:textId="10B3F99C" w:rsidR="00174B4E" w:rsidRPr="0053292E" w:rsidRDefault="00F9043E" w:rsidP="001D2479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53292E">
        <w:rPr>
          <w:rFonts w:eastAsia="Calibri" w:cstheme="minorHAnsi"/>
          <w:b/>
          <w:sz w:val="24"/>
          <w:szCs w:val="24"/>
        </w:rPr>
        <w:t xml:space="preserve">o konačnom </w:t>
      </w:r>
      <w:bookmarkStart w:id="1" w:name="_Hlk236730748"/>
      <w:r w:rsidRPr="0053292E">
        <w:rPr>
          <w:rFonts w:eastAsia="Calibri" w:cstheme="minorHAnsi"/>
          <w:b/>
          <w:sz w:val="24"/>
          <w:szCs w:val="24"/>
        </w:rPr>
        <w:t>prijedlogu obuhvata Većeg urbanog područja Velika Gorica</w:t>
      </w:r>
      <w:bookmarkEnd w:id="1"/>
    </w:p>
    <w:p w14:paraId="3BDB7F99" w14:textId="77777777" w:rsidR="00174B4E" w:rsidRPr="0053292E" w:rsidRDefault="00174B4E" w:rsidP="00174B4E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53292E">
        <w:rPr>
          <w:rFonts w:eastAsia="Calibri" w:cstheme="minorHAnsi"/>
          <w:b/>
          <w:sz w:val="24"/>
          <w:szCs w:val="24"/>
        </w:rPr>
        <w:t>Članak 1.</w:t>
      </w:r>
    </w:p>
    <w:p w14:paraId="6EBAF043" w14:textId="4D2F8992" w:rsidR="00174B4E" w:rsidRPr="0053292E" w:rsidRDefault="00F9043E" w:rsidP="00174B4E">
      <w:pPr>
        <w:spacing w:after="200" w:line="276" w:lineRule="auto"/>
        <w:jc w:val="both"/>
        <w:rPr>
          <w:rFonts w:eastAsia="Calibri" w:cstheme="minorHAnsi"/>
          <w:color w:val="000000"/>
          <w:sz w:val="24"/>
          <w:szCs w:val="24"/>
          <w:highlight w:val="yellow"/>
        </w:rPr>
      </w:pPr>
      <w:r w:rsidRPr="0053292E">
        <w:rPr>
          <w:rFonts w:eastAsia="Calibri" w:cstheme="minorHAnsi"/>
          <w:sz w:val="24"/>
          <w:szCs w:val="24"/>
        </w:rPr>
        <w:t xml:space="preserve">Ovom odlukom utvrđuje se </w:t>
      </w:r>
      <w:r w:rsidR="00F34415" w:rsidRPr="0053292E">
        <w:rPr>
          <w:rFonts w:eastAsia="Calibri" w:cstheme="minorHAnsi"/>
          <w:sz w:val="24"/>
          <w:szCs w:val="24"/>
        </w:rPr>
        <w:t>k</w:t>
      </w:r>
      <w:r w:rsidR="002F3E20" w:rsidRPr="0053292E">
        <w:rPr>
          <w:rFonts w:eastAsia="Calibri" w:cstheme="minorHAnsi"/>
          <w:sz w:val="24"/>
          <w:szCs w:val="24"/>
        </w:rPr>
        <w:t>onačni prijedlog obuhvata</w:t>
      </w:r>
      <w:r w:rsidRPr="0053292E">
        <w:rPr>
          <w:rFonts w:eastAsia="Calibri" w:cstheme="minorHAnsi"/>
          <w:sz w:val="24"/>
          <w:szCs w:val="24"/>
        </w:rPr>
        <w:t xml:space="preserve"> </w:t>
      </w:r>
      <w:r w:rsidR="002F3E20" w:rsidRPr="0053292E">
        <w:rPr>
          <w:rFonts w:eastAsia="Calibri" w:cstheme="minorHAnsi"/>
          <w:sz w:val="24"/>
          <w:szCs w:val="24"/>
        </w:rPr>
        <w:t>V</w:t>
      </w:r>
      <w:r w:rsidRPr="0053292E">
        <w:rPr>
          <w:rFonts w:eastAsia="Calibri" w:cstheme="minorHAnsi"/>
          <w:sz w:val="24"/>
          <w:szCs w:val="24"/>
        </w:rPr>
        <w:t>ećeg urbanog područja Velika Gorica sa sjedištem u Velikoj Gorici</w:t>
      </w:r>
      <w:r w:rsidR="002F3E20" w:rsidRPr="0053292E">
        <w:rPr>
          <w:rFonts w:eastAsia="Calibri" w:cstheme="minorHAnsi"/>
          <w:sz w:val="24"/>
          <w:szCs w:val="24"/>
        </w:rPr>
        <w:t>.</w:t>
      </w:r>
    </w:p>
    <w:p w14:paraId="61B09B24" w14:textId="77777777" w:rsidR="00174B4E" w:rsidRPr="0053292E" w:rsidRDefault="00174B4E" w:rsidP="00174B4E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53292E">
        <w:rPr>
          <w:rFonts w:eastAsia="Calibri" w:cstheme="minorHAnsi"/>
          <w:b/>
          <w:color w:val="000000"/>
          <w:sz w:val="24"/>
          <w:szCs w:val="24"/>
        </w:rPr>
        <w:t>Članak 2.</w:t>
      </w:r>
    </w:p>
    <w:p w14:paraId="4F3C9F86" w14:textId="592666A7" w:rsidR="00174B4E" w:rsidRPr="0053292E" w:rsidRDefault="00404FB6" w:rsidP="00231D4E">
      <w:pPr>
        <w:spacing w:after="20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 xml:space="preserve">Konačni prijedlog obuhvata </w:t>
      </w:r>
      <w:r w:rsidR="002F3E20" w:rsidRPr="0053292E">
        <w:rPr>
          <w:rFonts w:eastAsia="Calibri" w:cstheme="minorHAnsi"/>
          <w:color w:val="000000"/>
          <w:sz w:val="24"/>
          <w:szCs w:val="24"/>
        </w:rPr>
        <w:t>V</w:t>
      </w:r>
      <w:r w:rsidR="00F9043E" w:rsidRPr="0053292E">
        <w:rPr>
          <w:rFonts w:eastAsia="Calibri" w:cstheme="minorHAnsi"/>
          <w:color w:val="000000"/>
          <w:sz w:val="24"/>
          <w:szCs w:val="24"/>
        </w:rPr>
        <w:t xml:space="preserve">ećeg urbanog područja Velika Gorica </w:t>
      </w:r>
      <w:r w:rsidR="00C03D7F" w:rsidRPr="0053292E">
        <w:rPr>
          <w:rFonts w:eastAsia="Calibri" w:cstheme="minorHAnsi"/>
          <w:color w:val="000000"/>
          <w:sz w:val="24"/>
          <w:szCs w:val="24"/>
        </w:rPr>
        <w:t xml:space="preserve">čine </w:t>
      </w:r>
      <w:r w:rsidR="00F9043E" w:rsidRPr="0053292E">
        <w:rPr>
          <w:rFonts w:eastAsia="Calibri" w:cstheme="minorHAnsi"/>
          <w:color w:val="000000"/>
          <w:sz w:val="24"/>
          <w:szCs w:val="24"/>
        </w:rPr>
        <w:t>sljedeće jedinice lokalne samouprave:</w:t>
      </w:r>
    </w:p>
    <w:p w14:paraId="2BD697D7" w14:textId="77777777" w:rsidR="00F34415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Grad Velika Gorica</w:t>
      </w:r>
    </w:p>
    <w:p w14:paraId="4B5F93F2" w14:textId="2E10BD19" w:rsidR="00F34415" w:rsidRPr="0053292E" w:rsidRDefault="00F34415" w:rsidP="00F34415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Grad Ivanić-Grad</w:t>
      </w:r>
    </w:p>
    <w:p w14:paraId="751EADB0" w14:textId="0180234B" w:rsidR="00F9043E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Općina Orle</w:t>
      </w:r>
    </w:p>
    <w:p w14:paraId="34FA38D7" w14:textId="2B460F36" w:rsidR="00F9043E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Općina Kravarsko</w:t>
      </w:r>
    </w:p>
    <w:p w14:paraId="7E636C57" w14:textId="77777777" w:rsidR="00F9043E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Općina Pokupsko</w:t>
      </w:r>
    </w:p>
    <w:p w14:paraId="47403673" w14:textId="7998EE50" w:rsidR="00F9043E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Općina Pisarovina</w:t>
      </w:r>
    </w:p>
    <w:p w14:paraId="0575A289" w14:textId="4052D79E" w:rsidR="00F9043E" w:rsidRPr="0053292E" w:rsidRDefault="00F9043E" w:rsidP="00F9043E">
      <w:pPr>
        <w:pStyle w:val="Odlomakpopisa"/>
        <w:numPr>
          <w:ilvl w:val="0"/>
          <w:numId w:val="1"/>
        </w:numPr>
        <w:spacing w:after="200" w:line="276" w:lineRule="auto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Općina Rugvica</w:t>
      </w:r>
    </w:p>
    <w:p w14:paraId="690FBF74" w14:textId="22D144D3" w:rsidR="00831167" w:rsidRPr="0053292E" w:rsidRDefault="00174B4E" w:rsidP="0098189D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53292E">
        <w:rPr>
          <w:rFonts w:eastAsia="Calibri" w:cstheme="minorHAnsi"/>
          <w:b/>
          <w:color w:val="000000"/>
          <w:sz w:val="24"/>
          <w:szCs w:val="24"/>
        </w:rPr>
        <w:t>Članak 3.</w:t>
      </w:r>
    </w:p>
    <w:p w14:paraId="191DC0E1" w14:textId="5D5FD38F" w:rsidR="00FB7BCA" w:rsidRPr="0053292E" w:rsidRDefault="00FB7BCA" w:rsidP="00F9043E">
      <w:pPr>
        <w:spacing w:after="20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 xml:space="preserve">Predstavnička tijela Grada Ivanić-Grada, te općina Orle, </w:t>
      </w:r>
      <w:r w:rsidR="00F34415" w:rsidRPr="0053292E">
        <w:rPr>
          <w:rFonts w:eastAsia="Calibri" w:cstheme="minorHAnsi"/>
          <w:color w:val="000000"/>
          <w:sz w:val="24"/>
          <w:szCs w:val="24"/>
        </w:rPr>
        <w:t xml:space="preserve">Kravarsko, </w:t>
      </w:r>
      <w:r w:rsidRPr="0053292E">
        <w:rPr>
          <w:rFonts w:eastAsia="Calibri" w:cstheme="minorHAnsi"/>
          <w:color w:val="000000"/>
          <w:sz w:val="24"/>
          <w:szCs w:val="24"/>
        </w:rPr>
        <w:t>Pokupsko</w:t>
      </w:r>
      <w:r w:rsidR="00F34415" w:rsidRPr="0053292E">
        <w:rPr>
          <w:rFonts w:eastAsia="Calibri" w:cstheme="minorHAnsi"/>
          <w:color w:val="000000"/>
          <w:sz w:val="24"/>
          <w:szCs w:val="24"/>
        </w:rPr>
        <w:t>,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</w:t>
      </w:r>
      <w:r w:rsidR="00F34415" w:rsidRPr="0053292E">
        <w:rPr>
          <w:rFonts w:eastAsia="Calibri" w:cstheme="minorHAnsi"/>
          <w:color w:val="000000"/>
          <w:sz w:val="24"/>
          <w:szCs w:val="24"/>
        </w:rPr>
        <w:t xml:space="preserve">Pisarovina </w:t>
      </w:r>
      <w:r w:rsidRPr="0053292E">
        <w:rPr>
          <w:rFonts w:eastAsia="Calibri" w:cstheme="minorHAnsi"/>
          <w:color w:val="000000"/>
          <w:sz w:val="24"/>
          <w:szCs w:val="24"/>
        </w:rPr>
        <w:t>i Rugvica</w:t>
      </w:r>
      <w:r w:rsidR="00F34415" w:rsidRPr="0053292E">
        <w:rPr>
          <w:rFonts w:eastAsia="Calibri" w:cstheme="minorHAnsi"/>
          <w:color w:val="000000"/>
          <w:sz w:val="24"/>
          <w:szCs w:val="24"/>
        </w:rPr>
        <w:t>,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donijela su odluke o davanju suglasnosti za ulazak u obuhvat urbanog područja Velika Gorica </w:t>
      </w:r>
      <w:r w:rsidR="00F60C27" w:rsidRPr="0053292E">
        <w:rPr>
          <w:rFonts w:eastAsia="Calibri" w:cstheme="minorHAnsi"/>
          <w:color w:val="000000"/>
          <w:sz w:val="24"/>
          <w:szCs w:val="24"/>
        </w:rPr>
        <w:t xml:space="preserve">koje </w:t>
      </w:r>
      <w:r w:rsidR="00C02E9F" w:rsidRPr="0053292E">
        <w:rPr>
          <w:rFonts w:eastAsia="Calibri" w:cstheme="minorHAnsi"/>
          <w:color w:val="000000"/>
          <w:sz w:val="24"/>
          <w:szCs w:val="24"/>
        </w:rPr>
        <w:t>čine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s</w:t>
      </w:r>
      <w:r w:rsidR="00F9043E" w:rsidRPr="0053292E">
        <w:rPr>
          <w:rFonts w:eastAsia="Calibri" w:cstheme="minorHAnsi"/>
          <w:color w:val="000000"/>
          <w:sz w:val="24"/>
          <w:szCs w:val="24"/>
        </w:rPr>
        <w:t>astavni dio ove Odluke</w:t>
      </w:r>
      <w:r w:rsidRPr="0053292E">
        <w:rPr>
          <w:rFonts w:eastAsia="Calibri" w:cstheme="minorHAnsi"/>
          <w:color w:val="000000"/>
          <w:sz w:val="24"/>
          <w:szCs w:val="24"/>
        </w:rPr>
        <w:t>.</w:t>
      </w:r>
    </w:p>
    <w:p w14:paraId="096EAA15" w14:textId="77777777" w:rsidR="0053292E" w:rsidRDefault="0053292E" w:rsidP="00FB7BCA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</w:p>
    <w:p w14:paraId="3E67EA36" w14:textId="77777777" w:rsidR="0053292E" w:rsidRDefault="0053292E" w:rsidP="00FB7BCA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</w:p>
    <w:p w14:paraId="58E68D04" w14:textId="757FAEF5" w:rsidR="00FB7BCA" w:rsidRPr="0053292E" w:rsidRDefault="00FB7BCA" w:rsidP="00FB7BCA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53292E">
        <w:rPr>
          <w:rFonts w:eastAsia="Calibri" w:cstheme="minorHAnsi"/>
          <w:b/>
          <w:color w:val="000000"/>
          <w:sz w:val="24"/>
          <w:szCs w:val="24"/>
        </w:rPr>
        <w:lastRenderedPageBreak/>
        <w:t>Članak 4.</w:t>
      </w:r>
    </w:p>
    <w:p w14:paraId="0C6E4598" w14:textId="3EFA3C96" w:rsidR="00FB7BCA" w:rsidRPr="0053292E" w:rsidRDefault="00FB7BCA" w:rsidP="00F9043E">
      <w:pPr>
        <w:spacing w:after="20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>Odluka o konačnom prijedlogu obuhvata Većeg urbanog područja Velika Gorica uputiti će se na mišljenje Ministarstvu regionalnoga razvoja i fondova Europske unije u cilju utvrđivanja sastava Većeg urbanog područja Velika Gorica, odlukom Vlade Republike Hrvatske.</w:t>
      </w:r>
    </w:p>
    <w:p w14:paraId="138BAF9D" w14:textId="7D59EF6D" w:rsidR="00AA3259" w:rsidRPr="0053292E" w:rsidRDefault="00AA3259" w:rsidP="00174B4E">
      <w:pPr>
        <w:spacing w:after="200" w:line="276" w:lineRule="auto"/>
        <w:rPr>
          <w:rFonts w:eastAsia="Calibri" w:cstheme="minorHAnsi"/>
          <w:color w:val="000000"/>
          <w:sz w:val="24"/>
          <w:szCs w:val="24"/>
          <w:highlight w:val="yellow"/>
        </w:rPr>
      </w:pPr>
    </w:p>
    <w:p w14:paraId="70DCCF75" w14:textId="5D59FDA5" w:rsidR="00174B4E" w:rsidRPr="0053292E" w:rsidRDefault="00174B4E" w:rsidP="00174B4E">
      <w:pPr>
        <w:spacing w:after="200" w:line="276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53292E">
        <w:rPr>
          <w:rFonts w:eastAsia="Calibri" w:cstheme="minorHAnsi"/>
          <w:b/>
          <w:color w:val="000000"/>
          <w:sz w:val="24"/>
          <w:szCs w:val="24"/>
        </w:rPr>
        <w:t xml:space="preserve">Članak </w:t>
      </w:r>
      <w:r w:rsidR="00FB7BCA" w:rsidRPr="0053292E">
        <w:rPr>
          <w:rFonts w:eastAsia="Calibri" w:cstheme="minorHAnsi"/>
          <w:b/>
          <w:color w:val="000000"/>
          <w:sz w:val="24"/>
          <w:szCs w:val="24"/>
        </w:rPr>
        <w:t>5</w:t>
      </w:r>
      <w:r w:rsidRPr="0053292E">
        <w:rPr>
          <w:rFonts w:eastAsia="Calibri" w:cstheme="minorHAnsi"/>
          <w:b/>
          <w:color w:val="000000"/>
          <w:sz w:val="24"/>
          <w:szCs w:val="24"/>
        </w:rPr>
        <w:t>.</w:t>
      </w:r>
    </w:p>
    <w:p w14:paraId="620FA8E6" w14:textId="60648A6A" w:rsidR="00174B4E" w:rsidRPr="0053292E" w:rsidRDefault="00174B4E" w:rsidP="00174B4E">
      <w:pPr>
        <w:spacing w:after="200" w:line="276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53292E">
        <w:rPr>
          <w:rFonts w:eastAsia="Calibri" w:cstheme="minorHAnsi"/>
          <w:color w:val="000000"/>
          <w:sz w:val="24"/>
          <w:szCs w:val="24"/>
        </w:rPr>
        <w:t xml:space="preserve">Ova Odluka stupa na snagu osmog dana </w:t>
      </w:r>
      <w:r w:rsidR="007D2EB3" w:rsidRPr="0053292E">
        <w:rPr>
          <w:rFonts w:eastAsia="Calibri" w:cstheme="minorHAnsi"/>
          <w:color w:val="000000"/>
          <w:sz w:val="24"/>
          <w:szCs w:val="24"/>
        </w:rPr>
        <w:t>od dana objave</w:t>
      </w:r>
      <w:r w:rsidRPr="0053292E">
        <w:rPr>
          <w:rFonts w:eastAsia="Calibri" w:cstheme="minorHAnsi"/>
          <w:color w:val="000000"/>
          <w:sz w:val="24"/>
          <w:szCs w:val="24"/>
        </w:rPr>
        <w:t xml:space="preserve"> u Službenom glasniku Grada Velike Gorice.</w:t>
      </w:r>
    </w:p>
    <w:p w14:paraId="67C4BC6E" w14:textId="77777777" w:rsidR="00174B4E" w:rsidRPr="0053292E" w:rsidRDefault="00174B4E" w:rsidP="00174B4E">
      <w:pPr>
        <w:spacing w:after="200" w:line="276" w:lineRule="auto"/>
        <w:rPr>
          <w:rFonts w:eastAsia="Calibri" w:cstheme="minorHAnsi"/>
          <w:color w:val="000000"/>
          <w:sz w:val="24"/>
          <w:szCs w:val="24"/>
          <w:highlight w:val="yellow"/>
        </w:rPr>
      </w:pPr>
    </w:p>
    <w:p w14:paraId="017DAB3F" w14:textId="77777777" w:rsidR="00174B4E" w:rsidRPr="0053292E" w:rsidRDefault="00174B4E" w:rsidP="00174B4E">
      <w:pPr>
        <w:spacing w:after="0" w:line="276" w:lineRule="auto"/>
        <w:rPr>
          <w:rFonts w:eastAsia="Calibri" w:cstheme="minorHAnsi"/>
          <w:b/>
          <w:color w:val="000000"/>
          <w:sz w:val="24"/>
          <w:szCs w:val="24"/>
          <w:highlight w:val="yellow"/>
        </w:rPr>
      </w:pPr>
    </w:p>
    <w:p w14:paraId="581B40BB" w14:textId="59BAC8CE" w:rsidR="0053292E" w:rsidRDefault="0053292E" w:rsidP="0053292E">
      <w:pPr>
        <w:tabs>
          <w:tab w:val="center" w:pos="7088"/>
        </w:tabs>
        <w:spacing w:after="0" w:line="276" w:lineRule="auto"/>
        <w:rPr>
          <w:rFonts w:eastAsia="Calibri" w:cstheme="minorHAnsi"/>
          <w:b/>
          <w:color w:val="000000"/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</w:rPr>
        <w:tab/>
      </w:r>
      <w:r w:rsidR="00174B4E" w:rsidRPr="0053292E">
        <w:rPr>
          <w:rFonts w:eastAsia="Calibri" w:cstheme="minorHAnsi"/>
          <w:b/>
          <w:color w:val="000000"/>
          <w:sz w:val="24"/>
          <w:szCs w:val="24"/>
        </w:rPr>
        <w:t xml:space="preserve">PREDSJEDNIK </w:t>
      </w:r>
    </w:p>
    <w:p w14:paraId="4D1F36D9" w14:textId="6DB65F53" w:rsidR="00174B4E" w:rsidRPr="0053292E" w:rsidRDefault="0053292E" w:rsidP="0053292E">
      <w:pPr>
        <w:tabs>
          <w:tab w:val="center" w:pos="7088"/>
        </w:tabs>
        <w:spacing w:after="0" w:line="276" w:lineRule="auto"/>
        <w:rPr>
          <w:rFonts w:eastAsia="Calibri" w:cstheme="minorHAnsi"/>
          <w:b/>
          <w:color w:val="000000"/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</w:rPr>
        <w:tab/>
      </w:r>
      <w:r w:rsidR="00174B4E" w:rsidRPr="0053292E">
        <w:rPr>
          <w:rFonts w:eastAsia="Calibri" w:cstheme="minorHAnsi"/>
          <w:b/>
          <w:color w:val="000000"/>
          <w:sz w:val="24"/>
          <w:szCs w:val="24"/>
        </w:rPr>
        <w:t>GRADSKOG VIJEĆA</w:t>
      </w:r>
    </w:p>
    <w:p w14:paraId="41880E0E" w14:textId="77777777" w:rsidR="00FC5863" w:rsidRPr="0053292E" w:rsidRDefault="00FC5863" w:rsidP="0053292E">
      <w:pPr>
        <w:tabs>
          <w:tab w:val="center" w:pos="7088"/>
        </w:tabs>
        <w:spacing w:after="0" w:line="276" w:lineRule="auto"/>
        <w:rPr>
          <w:rFonts w:eastAsia="Calibri" w:cstheme="minorHAnsi"/>
          <w:b/>
          <w:color w:val="000000"/>
          <w:sz w:val="24"/>
          <w:szCs w:val="24"/>
        </w:rPr>
      </w:pPr>
    </w:p>
    <w:p w14:paraId="1B90119F" w14:textId="3FEFB24B" w:rsidR="00174B4E" w:rsidRPr="0053292E" w:rsidRDefault="0053292E" w:rsidP="0053292E">
      <w:pPr>
        <w:tabs>
          <w:tab w:val="center" w:pos="7088"/>
        </w:tabs>
        <w:spacing w:after="0" w:line="276" w:lineRule="auto"/>
        <w:rPr>
          <w:rFonts w:eastAsia="Calibri" w:cstheme="minorHAnsi"/>
          <w:b/>
          <w:i/>
          <w:color w:val="000000"/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</w:rPr>
        <w:tab/>
      </w:r>
      <w:r w:rsidR="00174B4E" w:rsidRPr="0053292E">
        <w:rPr>
          <w:rFonts w:eastAsia="Calibri" w:cstheme="minorHAnsi"/>
          <w:b/>
          <w:color w:val="000000"/>
          <w:sz w:val="24"/>
          <w:szCs w:val="24"/>
        </w:rPr>
        <w:t>Darko Bekić</w:t>
      </w:r>
      <w:r w:rsidR="00174B4E" w:rsidRPr="0053292E">
        <w:rPr>
          <w:rFonts w:eastAsia="Calibri" w:cstheme="minorHAnsi"/>
          <w:b/>
          <w:i/>
          <w:color w:val="000000"/>
          <w:sz w:val="24"/>
          <w:szCs w:val="24"/>
        </w:rPr>
        <w:t xml:space="preserve">, </w:t>
      </w:r>
      <w:proofErr w:type="spellStart"/>
      <w:r w:rsidR="00174B4E" w:rsidRPr="0053292E">
        <w:rPr>
          <w:rFonts w:eastAsia="Calibri" w:cstheme="minorHAnsi"/>
          <w:b/>
          <w:color w:val="000000"/>
          <w:sz w:val="24"/>
          <w:szCs w:val="24"/>
        </w:rPr>
        <w:t>univ.spec.pol</w:t>
      </w:r>
      <w:proofErr w:type="spellEnd"/>
      <w:r w:rsidR="00174B4E" w:rsidRPr="0053292E">
        <w:rPr>
          <w:rFonts w:eastAsia="Calibri" w:cstheme="minorHAnsi"/>
          <w:b/>
          <w:color w:val="000000"/>
          <w:sz w:val="24"/>
          <w:szCs w:val="24"/>
        </w:rPr>
        <w:t>.</w:t>
      </w:r>
    </w:p>
    <w:p w14:paraId="0100AEC6" w14:textId="77777777" w:rsidR="005473A2" w:rsidRPr="0053292E" w:rsidRDefault="005473A2">
      <w:pPr>
        <w:rPr>
          <w:rFonts w:cstheme="minorHAnsi"/>
          <w:sz w:val="24"/>
          <w:szCs w:val="24"/>
        </w:rPr>
      </w:pPr>
    </w:p>
    <w:sectPr w:rsidR="005473A2" w:rsidRPr="005329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970DB" w14:textId="77777777" w:rsidR="00E450A5" w:rsidRDefault="00E450A5" w:rsidP="0098189D">
      <w:pPr>
        <w:spacing w:after="0" w:line="240" w:lineRule="auto"/>
      </w:pPr>
      <w:r>
        <w:separator/>
      </w:r>
    </w:p>
  </w:endnote>
  <w:endnote w:type="continuationSeparator" w:id="0">
    <w:p w14:paraId="269A0662" w14:textId="77777777" w:rsidR="00E450A5" w:rsidRDefault="00E450A5" w:rsidP="0098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925848"/>
      <w:docPartObj>
        <w:docPartGallery w:val="Page Numbers (Bottom of Page)"/>
        <w:docPartUnique/>
      </w:docPartObj>
    </w:sdtPr>
    <w:sdtEndPr/>
    <w:sdtContent>
      <w:p w14:paraId="504DB712" w14:textId="77777777" w:rsidR="00772E60" w:rsidRDefault="00772E6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7517A3" w14:textId="77777777" w:rsidR="00772E60" w:rsidRDefault="00772E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25A9F" w14:textId="77777777" w:rsidR="00E450A5" w:rsidRDefault="00E450A5" w:rsidP="0098189D">
      <w:pPr>
        <w:spacing w:after="0" w:line="240" w:lineRule="auto"/>
      </w:pPr>
      <w:r>
        <w:separator/>
      </w:r>
    </w:p>
  </w:footnote>
  <w:footnote w:type="continuationSeparator" w:id="0">
    <w:p w14:paraId="1B3DA29D" w14:textId="77777777" w:rsidR="00E450A5" w:rsidRDefault="00E450A5" w:rsidP="0098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E01B2"/>
    <w:multiLevelType w:val="hybridMultilevel"/>
    <w:tmpl w:val="2196D62A"/>
    <w:lvl w:ilvl="0" w:tplc="B358D5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B4E"/>
    <w:rsid w:val="0003722B"/>
    <w:rsid w:val="00043A7F"/>
    <w:rsid w:val="00174B4E"/>
    <w:rsid w:val="001D2479"/>
    <w:rsid w:val="001E413B"/>
    <w:rsid w:val="00231D4E"/>
    <w:rsid w:val="00271D9C"/>
    <w:rsid w:val="002D5E6B"/>
    <w:rsid w:val="002F3E20"/>
    <w:rsid w:val="0036475A"/>
    <w:rsid w:val="003778BA"/>
    <w:rsid w:val="003E443D"/>
    <w:rsid w:val="00404FB6"/>
    <w:rsid w:val="0053292E"/>
    <w:rsid w:val="005473A2"/>
    <w:rsid w:val="00575E21"/>
    <w:rsid w:val="005963E3"/>
    <w:rsid w:val="005C7B15"/>
    <w:rsid w:val="006229A0"/>
    <w:rsid w:val="006253A7"/>
    <w:rsid w:val="006A0D48"/>
    <w:rsid w:val="00772E60"/>
    <w:rsid w:val="007B373C"/>
    <w:rsid w:val="007D2EB3"/>
    <w:rsid w:val="007F73B6"/>
    <w:rsid w:val="00831167"/>
    <w:rsid w:val="00833658"/>
    <w:rsid w:val="00892D19"/>
    <w:rsid w:val="008B1329"/>
    <w:rsid w:val="0098189D"/>
    <w:rsid w:val="00987870"/>
    <w:rsid w:val="00997EED"/>
    <w:rsid w:val="009C6EE3"/>
    <w:rsid w:val="00A64A8B"/>
    <w:rsid w:val="00AA3259"/>
    <w:rsid w:val="00AD1530"/>
    <w:rsid w:val="00B833EB"/>
    <w:rsid w:val="00C02E9F"/>
    <w:rsid w:val="00C03D7F"/>
    <w:rsid w:val="00C03F65"/>
    <w:rsid w:val="00C14649"/>
    <w:rsid w:val="00E22581"/>
    <w:rsid w:val="00E27D55"/>
    <w:rsid w:val="00E450A5"/>
    <w:rsid w:val="00E72C19"/>
    <w:rsid w:val="00F2672B"/>
    <w:rsid w:val="00F34415"/>
    <w:rsid w:val="00F60C27"/>
    <w:rsid w:val="00F76FB5"/>
    <w:rsid w:val="00F9043E"/>
    <w:rsid w:val="00FA569A"/>
    <w:rsid w:val="00FA7815"/>
    <w:rsid w:val="00FB7BCA"/>
    <w:rsid w:val="00FC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EAF6"/>
  <w15:chartTrackingRefBased/>
  <w15:docId w15:val="{C1841389-8983-4EB5-858A-A99B471B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F65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189D"/>
  </w:style>
  <w:style w:type="paragraph" w:styleId="Podnoje">
    <w:name w:val="footer"/>
    <w:basedOn w:val="Normal"/>
    <w:link w:val="PodnojeChar"/>
    <w:uiPriority w:val="99"/>
    <w:unhideWhenUsed/>
    <w:rsid w:val="009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189D"/>
  </w:style>
  <w:style w:type="paragraph" w:styleId="Tekstbalonia">
    <w:name w:val="Balloon Text"/>
    <w:basedOn w:val="Normal"/>
    <w:link w:val="TekstbaloniaChar"/>
    <w:uiPriority w:val="99"/>
    <w:semiHidden/>
    <w:unhideWhenUsed/>
    <w:rsid w:val="00F76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6FB5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9043E"/>
    <w:pPr>
      <w:ind w:left="720"/>
      <w:contextualSpacing/>
    </w:pPr>
  </w:style>
  <w:style w:type="paragraph" w:styleId="Revizija">
    <w:name w:val="Revision"/>
    <w:hidden/>
    <w:uiPriority w:val="99"/>
    <w:semiHidden/>
    <w:rsid w:val="002F3E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404FB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404FB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404FB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04FB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04F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3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Vatavuk Rozić</dc:creator>
  <cp:keywords/>
  <dc:description/>
  <cp:lastModifiedBy>Kristina</cp:lastModifiedBy>
  <cp:revision>5</cp:revision>
  <cp:lastPrinted>2026-08-10T05:59:00Z</cp:lastPrinted>
  <dcterms:created xsi:type="dcterms:W3CDTF">2026-08-19T12:18:00Z</dcterms:created>
  <dcterms:modified xsi:type="dcterms:W3CDTF">2026-08-19T12:44:00Z</dcterms:modified>
</cp:coreProperties>
</file>